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05C5BD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）套期保值、套利交易方案；</w:t>
      </w:r>
    </w:p>
    <w:p w14:paraId="59D93594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）申请人的有效身份证明材料；</w:t>
      </w:r>
    </w:p>
    <w:p w14:paraId="2E67B9DD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）近期现货等市场交易情况及相关资产证明；</w:t>
      </w:r>
    </w:p>
    <w:p w14:paraId="6EA562A4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）历史套期保值、套利交易情况说明；</w:t>
      </w:r>
    </w:p>
    <w:p w14:paraId="3C9208F3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）交易所要求的其他材料。</w:t>
      </w:r>
      <w:bookmarkStart w:id="0" w:name="_GoBack"/>
      <w:bookmarkEnd w:id="0"/>
    </w:p>
    <w:p w14:paraId="346492F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1031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2025-10-20T01:23:42Z</dcterms:created>
  <dc:creator>hsqh</dc:creator>
  <cp:lastModifiedBy>结算部邸伟杰</cp:lastModifiedBy>
  <dcterms:modified xsi:type="dcterms:W3CDTF">2025-10-20T01:24:02Z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eyJoZGlkIjoiNDcwMjlmYWEwNTJlYTY2ZDFjNWJkOTk3MjE3MzJlMzkiLCJ1c2VySWQiOiIxNTgxOTcwMTE0In0=</vt:lpwstr>
  </property>
  <property fmtid="{D5CDD505-2E9C-101B-9397-08002B2CF9AE}" pid="4" name="ICV">
    <vt:lpwstr>06EABB5B14EF4430BCEE1198B765DED0_12</vt:lpwstr>
  </property>
</Properties>
</file>